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F44A7" w14:textId="67C8B712" w:rsidR="002F1DFF" w:rsidRDefault="002F1DFF" w:rsidP="00095369">
      <w:pPr>
        <w:spacing w:line="480" w:lineRule="auto"/>
        <w:jc w:val="center"/>
        <w:rPr>
          <w:rFonts w:ascii="Times New Roman" w:hAnsi="Times New Roman" w:cs="Times New Roman"/>
        </w:rPr>
      </w:pPr>
      <w:r w:rsidRPr="002F1DFF">
        <w:rPr>
          <w:rFonts w:ascii="Times New Roman" w:hAnsi="Times New Roman" w:cs="Times New Roman"/>
          <w:b/>
          <w:bCs/>
        </w:rPr>
        <w:t>Table Organization Rubric</w:t>
      </w:r>
    </w:p>
    <w:p w14:paraId="79158287" w14:textId="77777777" w:rsidR="002F1DFF" w:rsidRDefault="002F1DFF" w:rsidP="00095369">
      <w:pPr>
        <w:spacing w:line="480" w:lineRule="auto"/>
        <w:ind w:firstLine="720"/>
        <w:rPr>
          <w:rFonts w:ascii="Times New Roman" w:hAnsi="Times New Roman" w:cs="Times New Roman"/>
        </w:rPr>
      </w:pPr>
      <w:r>
        <w:rPr>
          <w:rFonts w:ascii="Times New Roman" w:hAnsi="Times New Roman" w:cs="Times New Roman"/>
        </w:rPr>
        <w:t xml:space="preserve">The tables are organized by the structures of the silanes and the electrophiles. Thus, the primary rubric of the tables follows the order: </w:t>
      </w:r>
      <w:proofErr w:type="spellStart"/>
      <w:r>
        <w:rPr>
          <w:rFonts w:ascii="Times New Roman" w:hAnsi="Times New Roman" w:cs="Times New Roman"/>
        </w:rPr>
        <w:t>acylsilanes</w:t>
      </w:r>
      <w:proofErr w:type="spellEnd"/>
      <w:r>
        <w:rPr>
          <w:rFonts w:ascii="Times New Roman" w:hAnsi="Times New Roman" w:cs="Times New Roman"/>
        </w:rPr>
        <w:t xml:space="preserve"> (Table 1), keto silanes (Table 2), </w:t>
      </w:r>
      <w:proofErr w:type="spellStart"/>
      <w:r>
        <w:rPr>
          <w:rFonts w:ascii="Times New Roman" w:hAnsi="Times New Roman" w:cs="Times New Roman"/>
        </w:rPr>
        <w:t>epoxysilanes</w:t>
      </w:r>
      <w:proofErr w:type="spellEnd"/>
      <w:r>
        <w:rPr>
          <w:rFonts w:ascii="Times New Roman" w:hAnsi="Times New Roman" w:cs="Times New Roman"/>
        </w:rPr>
        <w:t xml:space="preserve"> (Table 3), </w:t>
      </w:r>
      <w:proofErr w:type="spellStart"/>
      <w:r>
        <w:rPr>
          <w:rFonts w:ascii="Times New Roman" w:hAnsi="Times New Roman" w:cs="Times New Roman"/>
        </w:rPr>
        <w:t>hydroxysilanes</w:t>
      </w:r>
      <w:proofErr w:type="spellEnd"/>
      <w:r>
        <w:rPr>
          <w:rFonts w:ascii="Times New Roman" w:hAnsi="Times New Roman" w:cs="Times New Roman"/>
        </w:rPr>
        <w:t xml:space="preserve"> (Table 4), silyl carbanions (Table 5), and </w:t>
      </w:r>
      <w:proofErr w:type="spellStart"/>
      <w:r>
        <w:rPr>
          <w:rFonts w:ascii="Times New Roman" w:hAnsi="Times New Roman" w:cs="Times New Roman"/>
        </w:rPr>
        <w:t>silylmetallic</w:t>
      </w:r>
      <w:proofErr w:type="spellEnd"/>
      <w:r>
        <w:rPr>
          <w:rFonts w:ascii="Times New Roman" w:hAnsi="Times New Roman" w:cs="Times New Roman"/>
        </w:rPr>
        <w:t xml:space="preserve"> compounds (Table 6). The secondary rubric (i.e., A, B, C, etc.) follows the order: carbonyl acceptors (ordered by carbon dioxide, aldehydes, ketones, acyl chloride, esters, and imines), electrophilic alkenes, epoxides and aziridines, organohalides and their analogs, heteroatom electrophiles, proton, elimination, and other miscellaneous transformations. This organization is consistent with the presentation of the “Scope and Limitations” section. Within each table, substrates are organized by the number of carbons contained in each substrate. Within substrates with the same core, the entries are ordered by electrophile carbon count. </w:t>
      </w:r>
    </w:p>
    <w:p w14:paraId="29DE9144" w14:textId="469AFA67" w:rsidR="008E26D4" w:rsidRDefault="002F1DFF" w:rsidP="00B95DD9">
      <w:pPr>
        <w:spacing w:line="480" w:lineRule="auto"/>
        <w:ind w:firstLine="720"/>
      </w:pPr>
      <w:commentRangeStart w:id="0"/>
      <w:r>
        <w:rPr>
          <w:rFonts w:ascii="Times New Roman" w:hAnsi="Times New Roman" w:cs="Times New Roman"/>
        </w:rPr>
        <w:t xml:space="preserve">Carbons attached to the silyl group are not counted. Small groups or protecting groups on heteroatoms are also excluded from the carbon count unless the group becomes part of the product skeleton. </w:t>
      </w:r>
      <w:commentRangeEnd w:id="0"/>
      <w:r w:rsidR="000915F9">
        <w:rPr>
          <w:rStyle w:val="CommentReference"/>
        </w:rPr>
        <w:commentReference w:id="0"/>
      </w:r>
      <w:r>
        <w:rPr>
          <w:rFonts w:ascii="Times New Roman" w:hAnsi="Times New Roman" w:cs="Times New Roman"/>
        </w:rPr>
        <w:t>Two charts precede the tables, which depict catalysts and ligands that are indicated by bold numbers in the table entries and are arranged primarily by structural type.</w:t>
      </w:r>
      <w:r>
        <w:t xml:space="preserve"> </w:t>
      </w:r>
    </w:p>
    <w:p w14:paraId="7B4E4DCA" w14:textId="22A5D56B" w:rsidR="00095369" w:rsidRDefault="008E26D4" w:rsidP="00095369">
      <w:pPr>
        <w:rPr>
          <w:color w:val="0001FF"/>
          <w:u w:val="single"/>
        </w:rPr>
      </w:pPr>
      <w:r w:rsidRPr="00763001">
        <w:rPr>
          <w:color w:val="0001FF"/>
          <w:u w:val="single"/>
        </w:rPr>
        <w:t>Note to authors</w:t>
      </w:r>
      <w:r w:rsidR="00095369" w:rsidRPr="00763001">
        <w:rPr>
          <w:color w:val="0001FF"/>
          <w:u w:val="single"/>
        </w:rPr>
        <w:t xml:space="preserve"> </w:t>
      </w:r>
    </w:p>
    <w:p w14:paraId="4EF92FC7" w14:textId="48AAD131" w:rsidR="00B95DD9" w:rsidRDefault="00B95DD9" w:rsidP="00095369">
      <w:pPr>
        <w:rPr>
          <w:color w:val="0001FF"/>
          <w:u w:val="single"/>
        </w:rPr>
      </w:pPr>
    </w:p>
    <w:p w14:paraId="5C280DDB" w14:textId="6D4AC3EA" w:rsidR="00B95DD9" w:rsidRPr="00B95DD9" w:rsidRDefault="00B95DD9" w:rsidP="00095369">
      <w:pPr>
        <w:rPr>
          <w:color w:val="0001FF"/>
        </w:rPr>
      </w:pPr>
      <w:r>
        <w:rPr>
          <w:color w:val="0001FF"/>
        </w:rPr>
        <w:t>The reactions should be divided between the Tables based on the substrate (or product) structure, NOT</w:t>
      </w:r>
      <w:r w:rsidRPr="00B95DD9">
        <w:rPr>
          <w:color w:val="0001FF"/>
        </w:rPr>
        <w:t xml:space="preserve"> on catalyst</w:t>
      </w:r>
      <w:r>
        <w:rPr>
          <w:color w:val="0001FF"/>
        </w:rPr>
        <w:t xml:space="preserve"> used.</w:t>
      </w:r>
    </w:p>
    <w:p w14:paraId="62B30821" w14:textId="77777777" w:rsidR="00B95DD9" w:rsidRPr="00763001" w:rsidRDefault="00B95DD9" w:rsidP="00095369">
      <w:pPr>
        <w:rPr>
          <w:color w:val="0001FF"/>
          <w:u w:val="single"/>
        </w:rPr>
      </w:pPr>
    </w:p>
    <w:p w14:paraId="013940E7" w14:textId="024DBCBD" w:rsidR="008E26D4" w:rsidRPr="00B95DD9" w:rsidRDefault="008E26D4" w:rsidP="00095369">
      <w:pPr>
        <w:rPr>
          <w:i/>
          <w:iCs/>
          <w:color w:val="0001FF"/>
          <w:u w:val="single"/>
        </w:rPr>
      </w:pPr>
      <w:r w:rsidRPr="00B95DD9">
        <w:rPr>
          <w:i/>
          <w:iCs/>
          <w:color w:val="0001FF"/>
        </w:rPr>
        <w:t>The Rubric should explain</w:t>
      </w:r>
      <w:r w:rsidR="00F64598" w:rsidRPr="00B95DD9">
        <w:rPr>
          <w:i/>
          <w:iCs/>
          <w:color w:val="0001FF"/>
        </w:rPr>
        <w:t>:</w:t>
      </w:r>
      <w:r w:rsidRPr="00B95DD9">
        <w:rPr>
          <w:i/>
          <w:iCs/>
          <w:color w:val="0001FF"/>
        </w:rPr>
        <w:t xml:space="preserve"> </w:t>
      </w:r>
    </w:p>
    <w:p w14:paraId="5CC5A32D" w14:textId="5D536102" w:rsidR="008E26D4" w:rsidRPr="00763001" w:rsidRDefault="008E26D4" w:rsidP="00095369">
      <w:pPr>
        <w:rPr>
          <w:color w:val="0001FF"/>
        </w:rPr>
      </w:pPr>
      <w:r w:rsidRPr="00763001">
        <w:rPr>
          <w:color w:val="0001FF"/>
        </w:rPr>
        <w:t xml:space="preserve">1. </w:t>
      </w:r>
      <w:r w:rsidR="00763001">
        <w:rPr>
          <w:color w:val="0001FF"/>
        </w:rPr>
        <w:t>Which substrates are in each Table.</w:t>
      </w:r>
    </w:p>
    <w:p w14:paraId="08DC4C4B" w14:textId="4D95BBE3" w:rsidR="008E26D4" w:rsidRPr="00763001" w:rsidRDefault="008E26D4" w:rsidP="009737FA">
      <w:pPr>
        <w:ind w:left="270" w:hanging="270"/>
        <w:rPr>
          <w:color w:val="0001FF"/>
        </w:rPr>
      </w:pPr>
      <w:r w:rsidRPr="00763001">
        <w:rPr>
          <w:color w:val="0001FF"/>
        </w:rPr>
        <w:t xml:space="preserve">2. How substrates are ordered within </w:t>
      </w:r>
      <w:r w:rsidR="00763001">
        <w:rPr>
          <w:color w:val="0001FF"/>
        </w:rPr>
        <w:t>a given</w:t>
      </w:r>
      <w:r w:rsidRPr="00763001">
        <w:rPr>
          <w:color w:val="0001FF"/>
        </w:rPr>
        <w:t xml:space="preserve"> carbon count</w:t>
      </w:r>
      <w:r w:rsidR="00763001">
        <w:rPr>
          <w:color w:val="0001FF"/>
        </w:rPr>
        <w:t xml:space="preserve"> (</w:t>
      </w:r>
      <w:r w:rsidRPr="00763001">
        <w:rPr>
          <w:color w:val="0001FF"/>
        </w:rPr>
        <w:t xml:space="preserve">this is only necessary if there are more than ~7 entries </w:t>
      </w:r>
      <w:r w:rsidR="00763001">
        <w:rPr>
          <w:color w:val="0001FF"/>
        </w:rPr>
        <w:t xml:space="preserve">with the same </w:t>
      </w:r>
      <w:r w:rsidRPr="00763001">
        <w:rPr>
          <w:color w:val="0001FF"/>
        </w:rPr>
        <w:t xml:space="preserve">carbon count in </w:t>
      </w:r>
      <w:r w:rsidR="00EF0A2E" w:rsidRPr="00763001">
        <w:rPr>
          <w:color w:val="0001FF"/>
        </w:rPr>
        <w:t>a given Table</w:t>
      </w:r>
      <w:r w:rsidR="00763001">
        <w:rPr>
          <w:color w:val="0001FF"/>
        </w:rPr>
        <w:t>).</w:t>
      </w:r>
    </w:p>
    <w:p w14:paraId="5DD59420" w14:textId="7016D300" w:rsidR="008E26D4" w:rsidRPr="00763001" w:rsidRDefault="008E26D4" w:rsidP="00095369">
      <w:pPr>
        <w:rPr>
          <w:color w:val="0001FF"/>
        </w:rPr>
      </w:pPr>
      <w:r w:rsidRPr="00763001">
        <w:rPr>
          <w:color w:val="0001FF"/>
        </w:rPr>
        <w:t xml:space="preserve">3. </w:t>
      </w:r>
      <w:r w:rsidR="00763001">
        <w:rPr>
          <w:color w:val="0001FF"/>
        </w:rPr>
        <w:t>The ordering</w:t>
      </w:r>
      <w:r w:rsidR="009737FA">
        <w:rPr>
          <w:color w:val="0001FF"/>
        </w:rPr>
        <w:t xml:space="preserve"> when there are multiple entries with the same substrate.</w:t>
      </w:r>
    </w:p>
    <w:p w14:paraId="00BD0337" w14:textId="77777777" w:rsidR="00095369" w:rsidRPr="00763001" w:rsidRDefault="00095369" w:rsidP="00095369">
      <w:pPr>
        <w:rPr>
          <w:color w:val="0001FF"/>
        </w:rPr>
      </w:pPr>
    </w:p>
    <w:p w14:paraId="2F94FA27" w14:textId="0959721A" w:rsidR="00F64598" w:rsidRPr="00763001" w:rsidRDefault="00173A35" w:rsidP="00095369">
      <w:pPr>
        <w:rPr>
          <w:color w:val="0001FF"/>
        </w:rPr>
      </w:pPr>
      <w:proofErr w:type="spellStart"/>
      <w:r>
        <w:rPr>
          <w:color w:val="0001FF"/>
        </w:rPr>
        <w:t>Subtables</w:t>
      </w:r>
      <w:proofErr w:type="spellEnd"/>
      <w:r>
        <w:rPr>
          <w:color w:val="0001FF"/>
        </w:rPr>
        <w:t xml:space="preserve"> within table entries </w:t>
      </w:r>
      <w:r w:rsidR="00EF0A2E" w:rsidRPr="00763001">
        <w:rPr>
          <w:color w:val="0001FF"/>
        </w:rPr>
        <w:t>should be</w:t>
      </w:r>
      <w:r w:rsidR="00F64598" w:rsidRPr="00763001">
        <w:rPr>
          <w:color w:val="0001FF"/>
        </w:rPr>
        <w:t xml:space="preserve"> ordered by the same Rubric</w:t>
      </w:r>
      <w:r>
        <w:rPr>
          <w:color w:val="0001FF"/>
        </w:rPr>
        <w:t>.</w:t>
      </w:r>
    </w:p>
    <w:p w14:paraId="004552C9" w14:textId="77777777" w:rsidR="00095369" w:rsidRPr="00763001" w:rsidRDefault="00095369" w:rsidP="00095369">
      <w:pPr>
        <w:rPr>
          <w:color w:val="0001FF"/>
        </w:rPr>
      </w:pPr>
    </w:p>
    <w:p w14:paraId="77FEE5CD" w14:textId="40C14C3D" w:rsidR="00EF0A2E" w:rsidRPr="00763001" w:rsidRDefault="00EF0A2E" w:rsidP="00095369">
      <w:pPr>
        <w:rPr>
          <w:color w:val="0001FF"/>
        </w:rPr>
      </w:pPr>
    </w:p>
    <w:sectPr w:rsidR="00EF0A2E" w:rsidRPr="00763001" w:rsidSect="00E245C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anielle Soenen" w:date="2022-03-29T10:51:00Z" w:initials="DS">
    <w:p w14:paraId="2A5224E4" w14:textId="77777777" w:rsidR="000915F9" w:rsidRDefault="000915F9" w:rsidP="000915F9">
      <w:pPr>
        <w:pStyle w:val="CommentText"/>
      </w:pPr>
      <w:r>
        <w:rPr>
          <w:rStyle w:val="CommentReference"/>
        </w:rPr>
        <w:annotationRef/>
      </w:r>
      <w:r>
        <w:t>Note that in order to juxtapose similar core structures in the tables, OR does not include chiral auxiliaries, protecting groups, and insignificant alkyl/aryl groups attached to heteroatoms in the carbon count.</w:t>
      </w:r>
    </w:p>
    <w:p w14:paraId="62DA2423" w14:textId="2C5E117A" w:rsidR="000915F9" w:rsidRDefault="000915F9">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DA24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ED6337" w16cex:dateUtc="2022-03-29T1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DA2423" w16cid:durableId="25ED633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le Soenen">
    <w15:presenceInfo w15:providerId="Windows Live" w15:userId="ec2f5fbd3cbdad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DFF"/>
    <w:rsid w:val="000039F9"/>
    <w:rsid w:val="00057939"/>
    <w:rsid w:val="000613CC"/>
    <w:rsid w:val="000915F9"/>
    <w:rsid w:val="00095369"/>
    <w:rsid w:val="000D1463"/>
    <w:rsid w:val="000F170E"/>
    <w:rsid w:val="000F5A60"/>
    <w:rsid w:val="00121E2A"/>
    <w:rsid w:val="00135998"/>
    <w:rsid w:val="00137C8C"/>
    <w:rsid w:val="00165ECF"/>
    <w:rsid w:val="00173A35"/>
    <w:rsid w:val="0017590E"/>
    <w:rsid w:val="001A5AE3"/>
    <w:rsid w:val="001D6088"/>
    <w:rsid w:val="00204DD1"/>
    <w:rsid w:val="002369F2"/>
    <w:rsid w:val="00241015"/>
    <w:rsid w:val="00254BC3"/>
    <w:rsid w:val="0029051A"/>
    <w:rsid w:val="002B1CBE"/>
    <w:rsid w:val="002F1DFF"/>
    <w:rsid w:val="00333896"/>
    <w:rsid w:val="00354070"/>
    <w:rsid w:val="0036053E"/>
    <w:rsid w:val="00397516"/>
    <w:rsid w:val="003C6807"/>
    <w:rsid w:val="0042042C"/>
    <w:rsid w:val="004B5705"/>
    <w:rsid w:val="005627A3"/>
    <w:rsid w:val="00571299"/>
    <w:rsid w:val="00593455"/>
    <w:rsid w:val="005C7377"/>
    <w:rsid w:val="006D28C4"/>
    <w:rsid w:val="00763001"/>
    <w:rsid w:val="007A6046"/>
    <w:rsid w:val="00800BBE"/>
    <w:rsid w:val="00821342"/>
    <w:rsid w:val="00840CEC"/>
    <w:rsid w:val="00854137"/>
    <w:rsid w:val="008840C6"/>
    <w:rsid w:val="008A383C"/>
    <w:rsid w:val="008C7B4B"/>
    <w:rsid w:val="008E26D4"/>
    <w:rsid w:val="009260D7"/>
    <w:rsid w:val="009737FA"/>
    <w:rsid w:val="009D0CBA"/>
    <w:rsid w:val="009E7C90"/>
    <w:rsid w:val="00A03A42"/>
    <w:rsid w:val="00AC7B48"/>
    <w:rsid w:val="00B05F40"/>
    <w:rsid w:val="00B06F7D"/>
    <w:rsid w:val="00B25FBA"/>
    <w:rsid w:val="00B404CF"/>
    <w:rsid w:val="00B8765A"/>
    <w:rsid w:val="00B95DD9"/>
    <w:rsid w:val="00BE0C46"/>
    <w:rsid w:val="00C56A69"/>
    <w:rsid w:val="00C57A1C"/>
    <w:rsid w:val="00D1670C"/>
    <w:rsid w:val="00DA1DA5"/>
    <w:rsid w:val="00DF3330"/>
    <w:rsid w:val="00E245C4"/>
    <w:rsid w:val="00EE6444"/>
    <w:rsid w:val="00EF0A2E"/>
    <w:rsid w:val="00EF4D06"/>
    <w:rsid w:val="00F37877"/>
    <w:rsid w:val="00F64598"/>
    <w:rsid w:val="00F86AD6"/>
    <w:rsid w:val="00FB550D"/>
    <w:rsid w:val="00FE4765"/>
    <w:rsid w:val="00FF69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4E4A4BB"/>
  <w15:chartTrackingRefBased/>
  <w15:docId w15:val="{7B17F974-0BAB-5C41-9653-06F90E1E0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03A42"/>
    <w:rPr>
      <w:sz w:val="16"/>
      <w:szCs w:val="16"/>
    </w:rPr>
  </w:style>
  <w:style w:type="paragraph" w:styleId="CommentText">
    <w:name w:val="annotation text"/>
    <w:basedOn w:val="Normal"/>
    <w:link w:val="CommentTextChar"/>
    <w:uiPriority w:val="99"/>
    <w:semiHidden/>
    <w:unhideWhenUsed/>
    <w:rsid w:val="00A03A42"/>
    <w:rPr>
      <w:sz w:val="20"/>
      <w:szCs w:val="20"/>
    </w:rPr>
  </w:style>
  <w:style w:type="character" w:customStyle="1" w:styleId="CommentTextChar">
    <w:name w:val="Comment Text Char"/>
    <w:basedOn w:val="DefaultParagraphFont"/>
    <w:link w:val="CommentText"/>
    <w:uiPriority w:val="99"/>
    <w:semiHidden/>
    <w:rsid w:val="00A03A42"/>
    <w:rPr>
      <w:sz w:val="20"/>
      <w:szCs w:val="20"/>
    </w:rPr>
  </w:style>
  <w:style w:type="paragraph" w:styleId="CommentSubject">
    <w:name w:val="annotation subject"/>
    <w:basedOn w:val="CommentText"/>
    <w:next w:val="CommentText"/>
    <w:link w:val="CommentSubjectChar"/>
    <w:uiPriority w:val="99"/>
    <w:semiHidden/>
    <w:unhideWhenUsed/>
    <w:rsid w:val="00A03A42"/>
    <w:rPr>
      <w:b/>
      <w:bCs/>
    </w:rPr>
  </w:style>
  <w:style w:type="character" w:customStyle="1" w:styleId="CommentSubjectChar">
    <w:name w:val="Comment Subject Char"/>
    <w:basedOn w:val="CommentTextChar"/>
    <w:link w:val="CommentSubject"/>
    <w:uiPriority w:val="99"/>
    <w:semiHidden/>
    <w:rsid w:val="00A03A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comments" Target="comment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272</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 Soenen</dc:creator>
  <cp:keywords/>
  <dc:description/>
  <cp:lastModifiedBy>Danielle Soenen</cp:lastModifiedBy>
  <cp:revision>9</cp:revision>
  <dcterms:created xsi:type="dcterms:W3CDTF">2022-03-18T21:43:00Z</dcterms:created>
  <dcterms:modified xsi:type="dcterms:W3CDTF">2025-03-13T17:55:00Z</dcterms:modified>
</cp:coreProperties>
</file>